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2924F" w14:textId="526CBFDC" w:rsidR="00957428" w:rsidRPr="00376830" w:rsidRDefault="00957428" w:rsidP="00957428">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Pr="00376830">
        <w:rPr>
          <w:rFonts w:cs="Arial"/>
          <w:sz w:val="24"/>
          <w:szCs w:val="24"/>
        </w:rPr>
        <w:tab/>
      </w:r>
      <w:r w:rsidRPr="00376830">
        <w:rPr>
          <w:rFonts w:cs="Arial"/>
          <w:sz w:val="24"/>
          <w:szCs w:val="24"/>
        </w:rPr>
        <w:tab/>
      </w:r>
      <w:r w:rsidR="00A36A12" w:rsidRPr="00A36A12">
        <w:rPr>
          <w:rFonts w:cs="Arial"/>
          <w:sz w:val="24"/>
          <w:szCs w:val="24"/>
        </w:rPr>
        <w:t>R4-2318656</w:t>
      </w:r>
    </w:p>
    <w:p w14:paraId="74C3B0DF" w14:textId="77777777" w:rsidR="00957428" w:rsidRPr="00036508" w:rsidRDefault="00957428" w:rsidP="0095742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C5BC58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57428">
        <w:rPr>
          <w:rFonts w:ascii="Arial" w:hAnsi="Arial" w:cs="Arial"/>
          <w:b/>
          <w:sz w:val="22"/>
          <w:szCs w:val="22"/>
        </w:rPr>
        <w:t>8</w:t>
      </w:r>
      <w:r w:rsidR="00DF5FDD">
        <w:rPr>
          <w:rFonts w:ascii="Arial" w:hAnsi="Arial" w:cs="Arial"/>
          <w:b/>
          <w:sz w:val="22"/>
          <w:szCs w:val="22"/>
        </w:rPr>
        <w:t>.34.</w:t>
      </w:r>
      <w:r w:rsidR="000133A2">
        <w:rPr>
          <w:rFonts w:ascii="Arial" w:hAnsi="Arial" w:cs="Arial"/>
          <w:b/>
          <w:sz w:val="22"/>
          <w:szCs w:val="22"/>
        </w:rPr>
        <w:t>3</w:t>
      </w:r>
      <w:r w:rsidR="00DF5FDD">
        <w:rPr>
          <w:rFonts w:ascii="Arial" w:hAnsi="Arial" w:cs="Arial"/>
          <w:b/>
          <w:sz w:val="22"/>
          <w:szCs w:val="22"/>
        </w:rPr>
        <w:t>.1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7D115F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w:t>
      </w:r>
      <w:r w:rsidR="00957428">
        <w:rPr>
          <w:rFonts w:ascii="Arial" w:hAnsi="Arial" w:cs="Arial"/>
          <w:b/>
          <w:sz w:val="22"/>
          <w:szCs w:val="22"/>
        </w:rPr>
        <w:t xml:space="preserve"> impacts</w:t>
      </w:r>
      <w:r w:rsidR="00A9674C" w:rsidRPr="00A9674C">
        <w:rPr>
          <w:rFonts w:ascii="Arial" w:hAnsi="Arial" w:cs="Arial"/>
          <w:b/>
          <w:sz w:val="22"/>
          <w:szCs w:val="22"/>
        </w:rPr>
        <w:t xml:space="preserve"> for </w:t>
      </w:r>
      <w:r w:rsidR="006F1EEE">
        <w:rPr>
          <w:rFonts w:ascii="Arial" w:hAnsi="Arial" w:cs="Arial"/>
          <w:b/>
          <w:sz w:val="22"/>
          <w:szCs w:val="22"/>
        </w:rPr>
        <w:t>NES</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3EDE3AB" w14:textId="784190A7" w:rsidR="00DF5FDD" w:rsidRDefault="00DF5FDD" w:rsidP="00DF5FDD">
      <w:pPr>
        <w:spacing w:after="120"/>
        <w:jc w:val="both"/>
      </w:pPr>
      <w:r>
        <w:t>In last RAN4#10</w:t>
      </w:r>
      <w:r w:rsidR="00D21FA0">
        <w:t>8</w:t>
      </w:r>
      <w:r w:rsidR="00957428">
        <w:t>bis</w:t>
      </w:r>
      <w:r>
        <w:t xml:space="preserve"> meeting, the WF for NES has been agreed in [1]. There are still some opens issues for further discussion, and in this contribution, we continue the discussion on the RRM impact for NES feature.</w:t>
      </w:r>
    </w:p>
    <w:p w14:paraId="5DA51949" w14:textId="334D7153" w:rsidR="00B12DCA" w:rsidRPr="00DF5FDD" w:rsidRDefault="00F63A1B" w:rsidP="00DF5FDD">
      <w:pPr>
        <w:pStyle w:val="Heading1"/>
        <w:numPr>
          <w:ilvl w:val="0"/>
          <w:numId w:val="10"/>
        </w:numPr>
        <w:pBdr>
          <w:top w:val="single" w:sz="12" w:space="2" w:color="auto"/>
        </w:pBdr>
        <w:jc w:val="both"/>
        <w:rPr>
          <w:sz w:val="32"/>
        </w:rPr>
      </w:pPr>
      <w:r>
        <w:rPr>
          <w:sz w:val="32"/>
        </w:rPr>
        <w:t>Discussion</w:t>
      </w:r>
    </w:p>
    <w:p w14:paraId="1F6849C7" w14:textId="2A2FFE93" w:rsidR="000C0697" w:rsidRDefault="000C0697" w:rsidP="000C0697">
      <w:pPr>
        <w:pStyle w:val="Heading2"/>
        <w:numPr>
          <w:ilvl w:val="1"/>
          <w:numId w:val="10"/>
        </w:numPr>
        <w:ind w:left="540"/>
        <w:rPr>
          <w:sz w:val="24"/>
          <w:szCs w:val="24"/>
        </w:rPr>
      </w:pPr>
      <w:r>
        <w:rPr>
          <w:sz w:val="24"/>
          <w:szCs w:val="24"/>
        </w:rPr>
        <w:t>Cell DTX/DRX</w:t>
      </w:r>
    </w:p>
    <w:p w14:paraId="5593BA8B" w14:textId="53DF7FFD" w:rsidR="000C0697" w:rsidRDefault="0020332F" w:rsidP="000C0697">
      <w:pPr>
        <w:spacing w:after="120"/>
        <w:jc w:val="both"/>
      </w:pPr>
      <w:r>
        <w:t>RAN4 has achieved following agreements in last meeting</w:t>
      </w:r>
      <w:r w:rsidR="00F8394C">
        <w:t>,</w:t>
      </w:r>
    </w:p>
    <w:tbl>
      <w:tblPr>
        <w:tblStyle w:val="TableGrid"/>
        <w:tblW w:w="0" w:type="auto"/>
        <w:tblLook w:val="04A0" w:firstRow="1" w:lastRow="0" w:firstColumn="1" w:lastColumn="0" w:noHBand="0" w:noVBand="1"/>
      </w:tblPr>
      <w:tblGrid>
        <w:gridCol w:w="9629"/>
      </w:tblGrid>
      <w:tr w:rsidR="00F8394C" w14:paraId="7CE2D965" w14:textId="77777777" w:rsidTr="00F8394C">
        <w:tc>
          <w:tcPr>
            <w:tcW w:w="9629" w:type="dxa"/>
          </w:tcPr>
          <w:p w14:paraId="403E0253" w14:textId="77777777" w:rsidR="0020332F" w:rsidRPr="0020332F" w:rsidRDefault="0020332F" w:rsidP="0020332F">
            <w:pPr>
              <w:spacing w:after="0"/>
              <w:rPr>
                <w:b/>
                <w:sz w:val="20"/>
                <w:szCs w:val="20"/>
                <w:u w:val="single"/>
                <w:lang w:eastAsia="ko-KR"/>
              </w:rPr>
            </w:pPr>
            <w:r w:rsidRPr="0020332F">
              <w:rPr>
                <w:b/>
                <w:sz w:val="20"/>
                <w:szCs w:val="20"/>
                <w:u w:val="single"/>
                <w:lang w:eastAsia="ko-KR"/>
              </w:rPr>
              <w:t xml:space="preserve">Issue 2-1: RRM impacts of Cell DTX/DRX – </w:t>
            </w:r>
            <w:proofErr w:type="gramStart"/>
            <w:r w:rsidRPr="0020332F">
              <w:rPr>
                <w:b/>
                <w:sz w:val="20"/>
                <w:szCs w:val="20"/>
                <w:u w:val="single"/>
                <w:lang w:eastAsia="ko-KR"/>
              </w:rPr>
              <w:t>general</w:t>
            </w:r>
            <w:proofErr w:type="gramEnd"/>
          </w:p>
          <w:p w14:paraId="25EBF5D5" w14:textId="77777777" w:rsidR="0020332F" w:rsidRPr="0020332F" w:rsidRDefault="0020332F" w:rsidP="0020332F">
            <w:pPr>
              <w:spacing w:after="0"/>
              <w:rPr>
                <w:sz w:val="20"/>
                <w:szCs w:val="20"/>
              </w:rPr>
            </w:pPr>
            <w:r w:rsidRPr="0020332F">
              <w:rPr>
                <w:sz w:val="20"/>
                <w:szCs w:val="20"/>
              </w:rPr>
              <w:t>Agreement:</w:t>
            </w:r>
          </w:p>
          <w:p w14:paraId="6842B163" w14:textId="77777777" w:rsidR="0020332F" w:rsidRPr="0020332F" w:rsidRDefault="0020332F" w:rsidP="0020332F">
            <w:pPr>
              <w:pStyle w:val="ListParagraph"/>
              <w:widowControl/>
              <w:numPr>
                <w:ilvl w:val="0"/>
                <w:numId w:val="58"/>
              </w:numPr>
              <w:overflowPunct w:val="0"/>
              <w:autoSpaceDE w:val="0"/>
              <w:autoSpaceDN w:val="0"/>
              <w:adjustRightInd w:val="0"/>
              <w:spacing w:after="0" w:line="240" w:lineRule="auto"/>
              <w:ind w:firstLineChars="0"/>
              <w:textAlignment w:val="baseline"/>
              <w:rPr>
                <w:sz w:val="20"/>
                <w:szCs w:val="20"/>
                <w:lang w:eastAsia="zh-CN"/>
              </w:rPr>
            </w:pPr>
            <w:r w:rsidRPr="0020332F">
              <w:rPr>
                <w:sz w:val="20"/>
                <w:szCs w:val="20"/>
                <w:lang w:eastAsia="zh-CN"/>
              </w:rPr>
              <w:t>There is no RRM impacts for cell DTX assuming that following RS are not impacted by Cell DTX</w:t>
            </w:r>
          </w:p>
          <w:p w14:paraId="619C07F7" w14:textId="77777777" w:rsidR="0020332F" w:rsidRPr="0020332F" w:rsidRDefault="0020332F" w:rsidP="0020332F">
            <w:pPr>
              <w:numPr>
                <w:ilvl w:val="1"/>
                <w:numId w:val="58"/>
              </w:numPr>
              <w:tabs>
                <w:tab w:val="left" w:pos="0"/>
              </w:tabs>
              <w:suppressAutoHyphens/>
              <w:overflowPunct w:val="0"/>
              <w:spacing w:after="0"/>
              <w:jc w:val="both"/>
              <w:rPr>
                <w:rFonts w:eastAsia="MS Mincho"/>
                <w:sz w:val="20"/>
                <w:szCs w:val="20"/>
              </w:rPr>
            </w:pPr>
            <w:r w:rsidRPr="0020332F">
              <w:rPr>
                <w:rFonts w:eastAsia="MS Mincho"/>
                <w:sz w:val="20"/>
                <w:szCs w:val="20"/>
              </w:rPr>
              <w:t>PRS</w:t>
            </w:r>
          </w:p>
          <w:p w14:paraId="39EA893D" w14:textId="77777777" w:rsidR="0020332F" w:rsidRPr="0020332F" w:rsidRDefault="0020332F" w:rsidP="0020332F">
            <w:pPr>
              <w:numPr>
                <w:ilvl w:val="1"/>
                <w:numId w:val="58"/>
              </w:numPr>
              <w:tabs>
                <w:tab w:val="left" w:pos="0"/>
              </w:tabs>
              <w:suppressAutoHyphens/>
              <w:overflowPunct w:val="0"/>
              <w:spacing w:after="0"/>
              <w:jc w:val="both"/>
              <w:rPr>
                <w:rFonts w:eastAsia="MS Mincho"/>
                <w:sz w:val="20"/>
                <w:szCs w:val="20"/>
              </w:rPr>
            </w:pPr>
            <w:r w:rsidRPr="0020332F">
              <w:rPr>
                <w:rFonts w:eastAsia="MS Mincho"/>
                <w:sz w:val="20"/>
                <w:szCs w:val="20"/>
              </w:rPr>
              <w:t xml:space="preserve">CSI-RS configured by </w:t>
            </w:r>
            <w:proofErr w:type="spellStart"/>
            <w:r w:rsidRPr="0020332F">
              <w:rPr>
                <w:rFonts w:eastAsia="MS Mincho"/>
                <w:sz w:val="20"/>
                <w:szCs w:val="20"/>
              </w:rPr>
              <w:t>measObjectNR</w:t>
            </w:r>
            <w:proofErr w:type="spellEnd"/>
            <w:r w:rsidRPr="0020332F">
              <w:rPr>
                <w:rFonts w:eastAsia="MS Mincho"/>
                <w:sz w:val="20"/>
                <w:szCs w:val="20"/>
              </w:rPr>
              <w:t xml:space="preserve"> (for RRM)</w:t>
            </w:r>
          </w:p>
          <w:p w14:paraId="759FC252" w14:textId="77777777" w:rsidR="0020332F" w:rsidRPr="0020332F" w:rsidRDefault="0020332F" w:rsidP="0020332F">
            <w:pPr>
              <w:numPr>
                <w:ilvl w:val="1"/>
                <w:numId w:val="58"/>
              </w:numPr>
              <w:tabs>
                <w:tab w:val="left" w:pos="0"/>
              </w:tabs>
              <w:suppressAutoHyphens/>
              <w:overflowPunct w:val="0"/>
              <w:spacing w:after="0"/>
              <w:jc w:val="both"/>
              <w:rPr>
                <w:rFonts w:eastAsia="MS Mincho"/>
                <w:sz w:val="20"/>
                <w:szCs w:val="20"/>
              </w:rPr>
            </w:pPr>
            <w:r w:rsidRPr="0020332F">
              <w:rPr>
                <w:rFonts w:eastAsia="MS Mincho"/>
                <w:sz w:val="20"/>
                <w:szCs w:val="20"/>
              </w:rPr>
              <w:t xml:space="preserve">CSI-RS associated with </w:t>
            </w:r>
            <w:proofErr w:type="spellStart"/>
            <w:r w:rsidRPr="0020332F">
              <w:rPr>
                <w:rFonts w:eastAsia="MS Mincho"/>
                <w:sz w:val="20"/>
                <w:szCs w:val="20"/>
              </w:rPr>
              <w:t>RadioLinkMonitoringConfig</w:t>
            </w:r>
            <w:proofErr w:type="spellEnd"/>
            <w:r w:rsidRPr="0020332F">
              <w:rPr>
                <w:rFonts w:eastAsia="MS Mincho"/>
                <w:sz w:val="20"/>
                <w:szCs w:val="20"/>
              </w:rPr>
              <w:t xml:space="preserve"> and </w:t>
            </w:r>
            <w:proofErr w:type="spellStart"/>
            <w:r w:rsidRPr="0020332F">
              <w:rPr>
                <w:rFonts w:eastAsia="MS Mincho"/>
                <w:sz w:val="20"/>
                <w:szCs w:val="20"/>
              </w:rPr>
              <w:t>BeamFailureDectection</w:t>
            </w:r>
            <w:proofErr w:type="spellEnd"/>
            <w:r w:rsidRPr="0020332F">
              <w:rPr>
                <w:rFonts w:eastAsia="MS Mincho"/>
                <w:sz w:val="20"/>
                <w:szCs w:val="20"/>
              </w:rPr>
              <w:t xml:space="preserve"> (for RLM and BFD)</w:t>
            </w:r>
          </w:p>
          <w:p w14:paraId="0CEEC9D7" w14:textId="77777777" w:rsidR="0020332F" w:rsidRPr="0020332F" w:rsidRDefault="0020332F" w:rsidP="0020332F">
            <w:pPr>
              <w:numPr>
                <w:ilvl w:val="1"/>
                <w:numId w:val="58"/>
              </w:numPr>
              <w:tabs>
                <w:tab w:val="left" w:pos="0"/>
              </w:tabs>
              <w:suppressAutoHyphens/>
              <w:overflowPunct w:val="0"/>
              <w:spacing w:after="0"/>
              <w:jc w:val="both"/>
              <w:rPr>
                <w:rFonts w:eastAsia="MS Mincho"/>
                <w:sz w:val="20"/>
                <w:szCs w:val="20"/>
              </w:rPr>
            </w:pPr>
            <w:r w:rsidRPr="0020332F">
              <w:rPr>
                <w:rFonts w:eastAsia="MS Mincho"/>
                <w:sz w:val="20"/>
                <w:szCs w:val="20"/>
              </w:rPr>
              <w:t xml:space="preserve">Periodic CSI-RS configured with </w:t>
            </w:r>
            <w:proofErr w:type="spellStart"/>
            <w:r w:rsidRPr="0020332F">
              <w:rPr>
                <w:rFonts w:eastAsia="MS Mincho"/>
                <w:sz w:val="20"/>
                <w:szCs w:val="20"/>
              </w:rPr>
              <w:t>trs</w:t>
            </w:r>
            <w:proofErr w:type="spellEnd"/>
            <w:r w:rsidRPr="0020332F">
              <w:rPr>
                <w:rFonts w:eastAsia="MS Mincho"/>
                <w:sz w:val="20"/>
                <w:szCs w:val="20"/>
              </w:rPr>
              <w:t>-Info ‘true’ (for tracking)</w:t>
            </w:r>
          </w:p>
          <w:p w14:paraId="3FC1EEEF" w14:textId="77777777" w:rsidR="0020332F" w:rsidRPr="0020332F" w:rsidRDefault="0020332F" w:rsidP="0020332F">
            <w:pPr>
              <w:numPr>
                <w:ilvl w:val="1"/>
                <w:numId w:val="58"/>
              </w:numPr>
              <w:tabs>
                <w:tab w:val="left" w:pos="0"/>
              </w:tabs>
              <w:suppressAutoHyphens/>
              <w:overflowPunct w:val="0"/>
              <w:spacing w:after="0"/>
              <w:jc w:val="both"/>
              <w:rPr>
                <w:rFonts w:eastAsia="MS Mincho"/>
                <w:sz w:val="20"/>
                <w:szCs w:val="20"/>
              </w:rPr>
            </w:pPr>
            <w:r w:rsidRPr="0020332F">
              <w:rPr>
                <w:rFonts w:eastAsia="MS Mincho"/>
                <w:sz w:val="20"/>
                <w:szCs w:val="20"/>
              </w:rPr>
              <w:t>Periodic/Semi-persistent CSI-RS (for BM)</w:t>
            </w:r>
          </w:p>
          <w:p w14:paraId="0DF818A6" w14:textId="77777777" w:rsidR="0020332F" w:rsidRPr="0020332F" w:rsidRDefault="0020332F" w:rsidP="0020332F">
            <w:pPr>
              <w:tabs>
                <w:tab w:val="left" w:pos="0"/>
              </w:tabs>
              <w:suppressAutoHyphens/>
              <w:overflowPunct w:val="0"/>
              <w:spacing w:after="0"/>
              <w:ind w:left="1440"/>
              <w:jc w:val="both"/>
              <w:rPr>
                <w:rFonts w:eastAsia="MS Mincho"/>
                <w:sz w:val="20"/>
                <w:szCs w:val="20"/>
              </w:rPr>
            </w:pPr>
          </w:p>
          <w:p w14:paraId="3E9F35E1" w14:textId="25C88D16" w:rsidR="00F85735" w:rsidRPr="0020332F" w:rsidRDefault="0020332F" w:rsidP="0020332F">
            <w:pPr>
              <w:pStyle w:val="ListParagraph"/>
              <w:widowControl/>
              <w:numPr>
                <w:ilvl w:val="0"/>
                <w:numId w:val="58"/>
              </w:numPr>
              <w:overflowPunct w:val="0"/>
              <w:autoSpaceDE w:val="0"/>
              <w:autoSpaceDN w:val="0"/>
              <w:adjustRightInd w:val="0"/>
              <w:spacing w:after="0" w:line="240" w:lineRule="auto"/>
              <w:ind w:firstLineChars="0"/>
              <w:textAlignment w:val="baseline"/>
              <w:rPr>
                <w:lang w:eastAsia="zh-CN"/>
              </w:rPr>
            </w:pPr>
            <w:r w:rsidRPr="0020332F">
              <w:rPr>
                <w:sz w:val="20"/>
                <w:szCs w:val="20"/>
                <w:highlight w:val="yellow"/>
                <w:lang w:eastAsia="zh-CN"/>
              </w:rPr>
              <w:t xml:space="preserve">FFS whether there is impact on </w:t>
            </w:r>
            <w:proofErr w:type="spellStart"/>
            <w:r w:rsidRPr="0020332F">
              <w:rPr>
                <w:sz w:val="20"/>
                <w:szCs w:val="20"/>
                <w:highlight w:val="yellow"/>
                <w:lang w:eastAsia="zh-CN"/>
              </w:rPr>
              <w:t>SCell</w:t>
            </w:r>
            <w:proofErr w:type="spellEnd"/>
            <w:r w:rsidRPr="0020332F">
              <w:rPr>
                <w:sz w:val="20"/>
                <w:szCs w:val="20"/>
                <w:highlight w:val="yellow"/>
                <w:lang w:eastAsia="zh-CN"/>
              </w:rPr>
              <w:t xml:space="preserve"> activation requirements of Cell DTX.</w:t>
            </w:r>
          </w:p>
        </w:tc>
      </w:tr>
    </w:tbl>
    <w:p w14:paraId="72A1FA06" w14:textId="03BAE315" w:rsidR="00F85735" w:rsidRDefault="00415E3E" w:rsidP="000C0697">
      <w:pPr>
        <w:spacing w:after="120"/>
        <w:jc w:val="both"/>
      </w:pPr>
      <w:r>
        <w:t xml:space="preserve"> </w:t>
      </w:r>
    </w:p>
    <w:p w14:paraId="77474D26" w14:textId="77777777" w:rsidR="0020332F" w:rsidRDefault="0020332F" w:rsidP="0020332F">
      <w:pPr>
        <w:tabs>
          <w:tab w:val="left" w:pos="0"/>
        </w:tabs>
        <w:suppressAutoHyphens/>
        <w:overflowPunct w:val="0"/>
        <w:jc w:val="both"/>
      </w:pPr>
      <w:r>
        <w:t xml:space="preserve">The only remaining part is the CQI reporting during the </w:t>
      </w:r>
      <w:proofErr w:type="spellStart"/>
      <w:r>
        <w:t>SCell</w:t>
      </w:r>
      <w:proofErr w:type="spellEnd"/>
      <w:r>
        <w:t xml:space="preserve"> activation if the P/SP CSI-RS for target </w:t>
      </w:r>
      <w:proofErr w:type="spellStart"/>
      <w:r>
        <w:t>SCell</w:t>
      </w:r>
      <w:proofErr w:type="spellEnd"/>
      <w:r>
        <w:t xml:space="preserve"> CQI reporting is outside the DTX active time window. In the current </w:t>
      </w:r>
      <w:proofErr w:type="spellStart"/>
      <w:r>
        <w:t>SCell</w:t>
      </w:r>
      <w:proofErr w:type="spellEnd"/>
      <w:r>
        <w:t xml:space="preserve"> activation requirement, it was defined that,</w:t>
      </w:r>
    </w:p>
    <w:p w14:paraId="47243593" w14:textId="2F5A0FC3" w:rsidR="009751FD" w:rsidRDefault="0020332F" w:rsidP="0020332F">
      <w:pPr>
        <w:tabs>
          <w:tab w:val="left" w:pos="0"/>
        </w:tabs>
        <w:suppressAutoHyphens/>
        <w:overflowPunct w:val="0"/>
        <w:jc w:val="both"/>
        <w:rPr>
          <w:b/>
          <w:bCs/>
          <w:i/>
          <w:iCs/>
        </w:rPr>
      </w:pPr>
      <w:r>
        <w:t xml:space="preserve"> </w:t>
      </w:r>
      <w:r w:rsidR="000D10FD">
        <w:rPr>
          <w:b/>
          <w:bCs/>
          <w:i/>
          <w:iCs/>
          <w:noProof/>
        </w:rPr>
        <w:drawing>
          <wp:inline distT="0" distB="0" distL="0" distR="0" wp14:anchorId="2D1B6B75" wp14:editId="3D4263C3">
            <wp:extent cx="6120765" cy="654685"/>
            <wp:effectExtent l="0" t="0" r="635" b="5715"/>
            <wp:docPr id="1587753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753148" name="Picture 1587753148"/>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654685"/>
                    </a:xfrm>
                    <a:prstGeom prst="rect">
                      <a:avLst/>
                    </a:prstGeom>
                  </pic:spPr>
                </pic:pic>
              </a:graphicData>
            </a:graphic>
          </wp:inline>
        </w:drawing>
      </w:r>
    </w:p>
    <w:p w14:paraId="722709C4" w14:textId="160DF505" w:rsidR="00543118" w:rsidRDefault="000D10FD" w:rsidP="00543118">
      <w:pPr>
        <w:tabs>
          <w:tab w:val="left" w:pos="0"/>
        </w:tabs>
        <w:suppressAutoHyphens/>
        <w:overflowPunct w:val="0"/>
        <w:jc w:val="both"/>
      </w:pPr>
      <w:r>
        <w:t>We think the current definition of time uncertainty in T</w:t>
      </w:r>
      <w:r w:rsidRPr="000D10FD">
        <w:rPr>
          <w:vertAlign w:val="subscript"/>
        </w:rPr>
        <w:t xml:space="preserve">CSI-reporting </w:t>
      </w:r>
      <w:r>
        <w:t xml:space="preserve">can already well cover the case when P/SP CSI-RS for CQI is outside the DTX active window, and therefore there is no impact on the </w:t>
      </w:r>
      <w:proofErr w:type="spellStart"/>
      <w:r w:rsidRPr="000D10FD">
        <w:t>SCell</w:t>
      </w:r>
      <w:proofErr w:type="spellEnd"/>
      <w:r w:rsidRPr="000D10FD">
        <w:t xml:space="preserve"> activation requirements of Cell DTX</w:t>
      </w:r>
      <w:r>
        <w:t>.</w:t>
      </w:r>
    </w:p>
    <w:p w14:paraId="4527C02E" w14:textId="77777777" w:rsidR="000D10FD" w:rsidRDefault="000D10FD" w:rsidP="00543118">
      <w:pPr>
        <w:tabs>
          <w:tab w:val="left" w:pos="0"/>
        </w:tabs>
        <w:suppressAutoHyphens/>
        <w:overflowPunct w:val="0"/>
        <w:jc w:val="both"/>
      </w:pPr>
    </w:p>
    <w:p w14:paraId="21B8D8C5" w14:textId="311A28F1" w:rsidR="00543118" w:rsidRDefault="000D10FD" w:rsidP="00543118">
      <w:pPr>
        <w:tabs>
          <w:tab w:val="left" w:pos="0"/>
        </w:tabs>
        <w:suppressAutoHyphens/>
        <w:overflowPunct w:val="0"/>
        <w:jc w:val="both"/>
        <w:rPr>
          <w:b/>
          <w:bCs/>
          <w:i/>
          <w:iCs/>
        </w:rPr>
      </w:pPr>
      <w:r w:rsidRPr="000D10FD">
        <w:rPr>
          <w:b/>
          <w:bCs/>
          <w:i/>
          <w:iCs/>
        </w:rPr>
        <w:t>Proposal</w:t>
      </w:r>
      <w:r>
        <w:rPr>
          <w:b/>
          <w:bCs/>
          <w:i/>
          <w:iCs/>
        </w:rPr>
        <w:t xml:space="preserve"> 1</w:t>
      </w:r>
      <w:r w:rsidRPr="000D10FD">
        <w:rPr>
          <w:b/>
          <w:bCs/>
          <w:i/>
          <w:iCs/>
        </w:rPr>
        <w:t>: the current definition of time uncertainty in T</w:t>
      </w:r>
      <w:r w:rsidRPr="000D10FD">
        <w:rPr>
          <w:b/>
          <w:bCs/>
          <w:i/>
          <w:iCs/>
          <w:vertAlign w:val="subscript"/>
        </w:rPr>
        <w:t xml:space="preserve">CSI-reporting </w:t>
      </w:r>
      <w:r w:rsidRPr="000D10FD">
        <w:rPr>
          <w:b/>
          <w:bCs/>
          <w:i/>
          <w:iCs/>
        </w:rPr>
        <w:t xml:space="preserve">can already well cover the case when P/SP CSI-RS for CQI is outside the DTX active window, and therefore there is no impact on the </w:t>
      </w:r>
      <w:proofErr w:type="spellStart"/>
      <w:r w:rsidRPr="000D10FD">
        <w:rPr>
          <w:b/>
          <w:bCs/>
          <w:i/>
          <w:iCs/>
        </w:rPr>
        <w:t>SCell</w:t>
      </w:r>
      <w:proofErr w:type="spellEnd"/>
      <w:r w:rsidRPr="000D10FD">
        <w:rPr>
          <w:b/>
          <w:bCs/>
          <w:i/>
          <w:iCs/>
        </w:rPr>
        <w:t xml:space="preserve"> activation requirements of Cell DTX.</w:t>
      </w:r>
    </w:p>
    <w:p w14:paraId="64CB4944" w14:textId="130979F0" w:rsidR="000D10FD" w:rsidRDefault="000D10FD" w:rsidP="000D10FD">
      <w:pPr>
        <w:pStyle w:val="Heading1"/>
        <w:numPr>
          <w:ilvl w:val="0"/>
          <w:numId w:val="10"/>
        </w:numPr>
        <w:pBdr>
          <w:top w:val="single" w:sz="12" w:space="2" w:color="auto"/>
        </w:pBdr>
        <w:jc w:val="both"/>
        <w:rPr>
          <w:sz w:val="32"/>
        </w:rPr>
      </w:pPr>
      <w:r>
        <w:rPr>
          <w:sz w:val="32"/>
        </w:rPr>
        <w:lastRenderedPageBreak/>
        <w:t xml:space="preserve">RRM impacts on </w:t>
      </w:r>
      <w:proofErr w:type="gramStart"/>
      <w:r>
        <w:rPr>
          <w:sz w:val="32"/>
        </w:rPr>
        <w:t>CHO</w:t>
      </w:r>
      <w:proofErr w:type="gramEnd"/>
    </w:p>
    <w:p w14:paraId="6B623F1C" w14:textId="26D56346" w:rsidR="000D10FD" w:rsidRDefault="000D10FD" w:rsidP="000D10FD">
      <w:pPr>
        <w:rPr>
          <w:lang w:val="en-GB"/>
        </w:rPr>
      </w:pPr>
      <w:r>
        <w:rPr>
          <w:lang w:val="en-GB"/>
        </w:rPr>
        <w:t>From last meeting we have following open issues:</w:t>
      </w:r>
    </w:p>
    <w:tbl>
      <w:tblPr>
        <w:tblStyle w:val="TableGrid"/>
        <w:tblW w:w="0" w:type="auto"/>
        <w:tblLook w:val="04A0" w:firstRow="1" w:lastRow="0" w:firstColumn="1" w:lastColumn="0" w:noHBand="0" w:noVBand="1"/>
      </w:tblPr>
      <w:tblGrid>
        <w:gridCol w:w="9629"/>
      </w:tblGrid>
      <w:tr w:rsidR="000D10FD" w14:paraId="0DC080DA" w14:textId="77777777" w:rsidTr="000D10FD">
        <w:tc>
          <w:tcPr>
            <w:tcW w:w="9629" w:type="dxa"/>
          </w:tcPr>
          <w:p w14:paraId="32DCF806" w14:textId="77777777" w:rsidR="000D10FD" w:rsidRPr="000D10FD" w:rsidRDefault="000D10FD" w:rsidP="000D10FD">
            <w:pPr>
              <w:spacing w:after="0"/>
              <w:rPr>
                <w:b/>
                <w:sz w:val="20"/>
                <w:szCs w:val="20"/>
                <w:u w:val="single"/>
                <w:lang w:eastAsia="ko-KR"/>
              </w:rPr>
            </w:pPr>
            <w:r w:rsidRPr="000D10FD">
              <w:rPr>
                <w:b/>
                <w:sz w:val="20"/>
                <w:szCs w:val="20"/>
                <w:u w:val="single"/>
                <w:lang w:eastAsia="ko-KR"/>
              </w:rPr>
              <w:t xml:space="preserve">Issue 2-3: RRM impacts of </w:t>
            </w:r>
            <w:proofErr w:type="gramStart"/>
            <w:r w:rsidRPr="000D10FD">
              <w:rPr>
                <w:b/>
                <w:sz w:val="20"/>
                <w:szCs w:val="20"/>
                <w:u w:val="single"/>
                <w:lang w:eastAsia="ko-KR"/>
              </w:rPr>
              <w:t>CHO</w:t>
            </w:r>
            <w:proofErr w:type="gramEnd"/>
          </w:p>
          <w:p w14:paraId="6223BACB" w14:textId="77777777" w:rsidR="000D10FD" w:rsidRPr="000D10FD" w:rsidRDefault="000D10FD" w:rsidP="000D10FD">
            <w:pPr>
              <w:pStyle w:val="ListParagraph"/>
              <w:widowControl/>
              <w:numPr>
                <w:ilvl w:val="0"/>
                <w:numId w:val="22"/>
              </w:numPr>
              <w:spacing w:after="0" w:line="240" w:lineRule="auto"/>
              <w:ind w:left="720" w:firstLineChars="0"/>
              <w:rPr>
                <w:sz w:val="20"/>
                <w:szCs w:val="20"/>
                <w:lang w:eastAsia="zh-CN"/>
              </w:rPr>
            </w:pPr>
            <w:r w:rsidRPr="000D10FD">
              <w:rPr>
                <w:sz w:val="20"/>
                <w:szCs w:val="20"/>
                <w:lang w:eastAsia="zh-CN"/>
              </w:rPr>
              <w:t>Proposals</w:t>
            </w:r>
          </w:p>
          <w:p w14:paraId="0FC1FBEE" w14:textId="77777777" w:rsidR="000D10FD" w:rsidRPr="000D10FD" w:rsidRDefault="000D10FD" w:rsidP="000D10FD">
            <w:pPr>
              <w:pStyle w:val="ListParagraph"/>
              <w:widowControl/>
              <w:numPr>
                <w:ilvl w:val="1"/>
                <w:numId w:val="22"/>
              </w:numPr>
              <w:spacing w:after="0" w:line="240" w:lineRule="auto"/>
              <w:ind w:left="1440" w:firstLineChars="0"/>
              <w:rPr>
                <w:sz w:val="20"/>
                <w:szCs w:val="20"/>
                <w:lang w:eastAsia="zh-CN"/>
              </w:rPr>
            </w:pPr>
            <w:r w:rsidRPr="000D10FD">
              <w:rPr>
                <w:sz w:val="20"/>
                <w:szCs w:val="20"/>
                <w:lang w:eastAsia="zh-CN"/>
              </w:rPr>
              <w:t>Option 1: RAN4 to wait RAN2’s further progress on CHO enhancement in NES. (Ericsson, Intel)</w:t>
            </w:r>
          </w:p>
          <w:p w14:paraId="1FEA8871" w14:textId="77777777" w:rsidR="000D10FD" w:rsidRPr="000D10FD" w:rsidRDefault="000D10FD" w:rsidP="000D10FD">
            <w:pPr>
              <w:pStyle w:val="ListParagraph"/>
              <w:widowControl/>
              <w:numPr>
                <w:ilvl w:val="2"/>
                <w:numId w:val="22"/>
              </w:numPr>
              <w:spacing w:after="0" w:line="240" w:lineRule="auto"/>
              <w:ind w:firstLineChars="0"/>
              <w:rPr>
                <w:sz w:val="20"/>
                <w:szCs w:val="20"/>
                <w:lang w:eastAsia="zh-CN"/>
              </w:rPr>
            </w:pPr>
            <w:r w:rsidRPr="000D10FD">
              <w:rPr>
                <w:sz w:val="20"/>
                <w:szCs w:val="20"/>
                <w:lang w:eastAsia="zh-CN"/>
              </w:rPr>
              <w:t>Option 1a:</w:t>
            </w:r>
            <w:r w:rsidRPr="000D10FD">
              <w:rPr>
                <w:sz w:val="20"/>
                <w:szCs w:val="20"/>
              </w:rPr>
              <w:t xml:space="preserve"> </w:t>
            </w:r>
            <w:r w:rsidRPr="000D10FD">
              <w:rPr>
                <w:sz w:val="20"/>
                <w:szCs w:val="20"/>
                <w:lang w:eastAsia="zh-CN"/>
              </w:rPr>
              <w:t>RAN4 is to discuss new triggering of CHO in core requirements and test cases according to further RAN2 conclusions. (Intel)</w:t>
            </w:r>
          </w:p>
          <w:p w14:paraId="03E89C4A" w14:textId="223114FF" w:rsidR="000D10FD" w:rsidRPr="000D10FD" w:rsidRDefault="000D10FD" w:rsidP="000D10FD">
            <w:pPr>
              <w:pStyle w:val="ListParagraph"/>
              <w:widowControl/>
              <w:numPr>
                <w:ilvl w:val="2"/>
                <w:numId w:val="22"/>
              </w:numPr>
              <w:spacing w:after="0" w:line="240" w:lineRule="auto"/>
              <w:ind w:firstLineChars="0"/>
              <w:rPr>
                <w:szCs w:val="24"/>
                <w:lang w:eastAsia="zh-CN"/>
              </w:rPr>
            </w:pPr>
            <w:r w:rsidRPr="000D10FD">
              <w:rPr>
                <w:sz w:val="20"/>
                <w:szCs w:val="20"/>
                <w:lang w:eastAsia="zh-CN"/>
              </w:rPr>
              <w:t>Option 1b:</w:t>
            </w:r>
            <w:r w:rsidRPr="000D10FD">
              <w:rPr>
                <w:sz w:val="20"/>
                <w:szCs w:val="20"/>
              </w:rPr>
              <w:t xml:space="preserve"> </w:t>
            </w:r>
            <w:r w:rsidRPr="000D10FD">
              <w:rPr>
                <w:sz w:val="20"/>
                <w:szCs w:val="20"/>
                <w:lang w:eastAsia="zh-CN"/>
              </w:rPr>
              <w:t>RAN4 to study the impact of CHO procedure due to cell switch off. (Ericson)</w:t>
            </w:r>
          </w:p>
        </w:tc>
      </w:tr>
    </w:tbl>
    <w:p w14:paraId="101217E1" w14:textId="77777777" w:rsidR="000D10FD" w:rsidRPr="000D10FD" w:rsidRDefault="000D10FD" w:rsidP="000D10FD">
      <w:pPr>
        <w:rPr>
          <w:lang w:val="en-GB"/>
        </w:rPr>
      </w:pPr>
    </w:p>
    <w:p w14:paraId="364A8B35" w14:textId="61F450F9" w:rsidR="000D10FD" w:rsidRDefault="000D10FD" w:rsidP="00543118">
      <w:pPr>
        <w:tabs>
          <w:tab w:val="left" w:pos="0"/>
        </w:tabs>
        <w:suppressAutoHyphens/>
        <w:overflowPunct w:val="0"/>
        <w:jc w:val="both"/>
      </w:pPr>
      <w:r w:rsidRPr="000D10FD">
        <w:t>However, in last RAN2 meeting, following agreements are achieved,</w:t>
      </w:r>
    </w:p>
    <w:p w14:paraId="206A38FF" w14:textId="77777777" w:rsidR="000D10FD" w:rsidRDefault="000D10FD" w:rsidP="00543118">
      <w:pPr>
        <w:tabs>
          <w:tab w:val="left" w:pos="0"/>
        </w:tabs>
        <w:suppressAutoHyphens/>
        <w:overflowPunct w:val="0"/>
        <w:jc w:val="both"/>
      </w:pPr>
    </w:p>
    <w:p w14:paraId="38432B6E" w14:textId="77777777" w:rsidR="000D10FD" w:rsidRPr="000D10FD" w:rsidRDefault="000D10FD" w:rsidP="000D10FD">
      <w:pPr>
        <w:pStyle w:val="Doc-text2"/>
        <w:pBdr>
          <w:top w:val="single" w:sz="4" w:space="1" w:color="auto"/>
          <w:left w:val="single" w:sz="4" w:space="4" w:color="auto"/>
          <w:bottom w:val="single" w:sz="4" w:space="1" w:color="auto"/>
          <w:right w:val="single" w:sz="4" w:space="4" w:color="auto"/>
        </w:pBdr>
        <w:rPr>
          <w:rFonts w:eastAsia="MS Mincho"/>
          <w:b/>
          <w:bCs/>
          <w:sz w:val="20"/>
          <w:szCs w:val="20"/>
        </w:rPr>
      </w:pPr>
      <w:r w:rsidRPr="000D10FD">
        <w:rPr>
          <w:b/>
          <w:bCs/>
          <w:sz w:val="20"/>
          <w:szCs w:val="20"/>
        </w:rPr>
        <w:t>Agreements:</w:t>
      </w:r>
    </w:p>
    <w:p w14:paraId="03E5DB8E" w14:textId="77777777" w:rsidR="000D10FD" w:rsidRPr="000D10FD" w:rsidRDefault="000D10FD" w:rsidP="000D10FD">
      <w:pPr>
        <w:pStyle w:val="Doc-text2"/>
        <w:pBdr>
          <w:top w:val="single" w:sz="4" w:space="1" w:color="auto"/>
          <w:left w:val="single" w:sz="4" w:space="4" w:color="auto"/>
          <w:bottom w:val="single" w:sz="4" w:space="1" w:color="auto"/>
          <w:right w:val="single" w:sz="4" w:space="4" w:color="auto"/>
        </w:pBdr>
        <w:rPr>
          <w:sz w:val="20"/>
          <w:szCs w:val="20"/>
        </w:rPr>
      </w:pPr>
      <w:r w:rsidRPr="000D10FD">
        <w:rPr>
          <w:sz w:val="20"/>
          <w:szCs w:val="20"/>
        </w:rPr>
        <w:t xml:space="preserve">RAN2 will not specify anything related to target cell NES mode for </w:t>
      </w:r>
      <w:proofErr w:type="gramStart"/>
      <w:r w:rsidRPr="000D10FD">
        <w:rPr>
          <w:sz w:val="20"/>
          <w:szCs w:val="20"/>
        </w:rPr>
        <w:t>CHO</w:t>
      </w:r>
      <w:proofErr w:type="gramEnd"/>
      <w:r w:rsidRPr="000D10FD">
        <w:rPr>
          <w:sz w:val="20"/>
          <w:szCs w:val="20"/>
        </w:rPr>
        <w:t xml:space="preserve"> </w:t>
      </w:r>
    </w:p>
    <w:p w14:paraId="32C7DBAC" w14:textId="77777777" w:rsidR="000D10FD" w:rsidRDefault="000D10FD" w:rsidP="00543118">
      <w:pPr>
        <w:tabs>
          <w:tab w:val="left" w:pos="0"/>
        </w:tabs>
        <w:suppressAutoHyphens/>
        <w:overflowPunct w:val="0"/>
        <w:jc w:val="both"/>
      </w:pPr>
    </w:p>
    <w:p w14:paraId="116CFF32" w14:textId="33230DA5" w:rsidR="000D10FD" w:rsidRDefault="00BC2842" w:rsidP="00543118">
      <w:pPr>
        <w:tabs>
          <w:tab w:val="left" w:pos="0"/>
        </w:tabs>
        <w:suppressAutoHyphens/>
        <w:overflowPunct w:val="0"/>
        <w:jc w:val="both"/>
      </w:pPr>
      <w:r>
        <w:t xml:space="preserve">RAN2 won’t define any mechanism to indicate the NES mode of target cell to the UE, but even though target cell is in NES mode, it would not impact on the SSB based RRM measurement (DTX won’t impact RRM measurement). </w:t>
      </w:r>
      <w:r w:rsidR="000D10FD">
        <w:t>Thus, there is no RRM impact on CHO requirement due to NES feature.</w:t>
      </w:r>
    </w:p>
    <w:p w14:paraId="2BEF39F7" w14:textId="77777777" w:rsidR="000D10FD" w:rsidRDefault="000D10FD" w:rsidP="000D10FD">
      <w:pPr>
        <w:tabs>
          <w:tab w:val="left" w:pos="0"/>
        </w:tabs>
        <w:suppressAutoHyphens/>
        <w:overflowPunct w:val="0"/>
        <w:jc w:val="both"/>
        <w:rPr>
          <w:b/>
          <w:bCs/>
          <w:i/>
          <w:iCs/>
        </w:rPr>
      </w:pPr>
    </w:p>
    <w:p w14:paraId="21C00344" w14:textId="1F1B7142" w:rsidR="000D10FD" w:rsidRDefault="000D10FD" w:rsidP="000D10FD">
      <w:pPr>
        <w:tabs>
          <w:tab w:val="left" w:pos="0"/>
        </w:tabs>
        <w:suppressAutoHyphens/>
        <w:overflowPunct w:val="0"/>
        <w:jc w:val="both"/>
        <w:rPr>
          <w:b/>
          <w:bCs/>
          <w:i/>
          <w:iCs/>
        </w:rPr>
      </w:pPr>
      <w:r w:rsidRPr="000D10FD">
        <w:rPr>
          <w:b/>
          <w:bCs/>
          <w:i/>
          <w:iCs/>
        </w:rPr>
        <w:t>Proposal</w:t>
      </w:r>
      <w:r>
        <w:rPr>
          <w:b/>
          <w:bCs/>
          <w:i/>
          <w:iCs/>
        </w:rPr>
        <w:t xml:space="preserve"> 2</w:t>
      </w:r>
      <w:r w:rsidRPr="000D10FD">
        <w:rPr>
          <w:b/>
          <w:bCs/>
          <w:i/>
          <w:iCs/>
        </w:rPr>
        <w:t xml:space="preserve">: </w:t>
      </w:r>
      <w:r>
        <w:rPr>
          <w:b/>
          <w:bCs/>
          <w:i/>
          <w:iCs/>
        </w:rPr>
        <w:t>t</w:t>
      </w:r>
      <w:r w:rsidRPr="000D10FD">
        <w:rPr>
          <w:b/>
          <w:bCs/>
          <w:i/>
          <w:iCs/>
        </w:rPr>
        <w:t xml:space="preserve">here is no RRM impacts </w:t>
      </w:r>
      <w:r>
        <w:rPr>
          <w:b/>
          <w:bCs/>
          <w:i/>
          <w:iCs/>
        </w:rPr>
        <w:t>on CHO requirement in Rel 18 NES WI.</w:t>
      </w:r>
    </w:p>
    <w:p w14:paraId="0F8488D8" w14:textId="77777777" w:rsidR="000D10FD" w:rsidRPr="000D10FD" w:rsidRDefault="000D10FD" w:rsidP="00543118">
      <w:pPr>
        <w:tabs>
          <w:tab w:val="left" w:pos="0"/>
        </w:tabs>
        <w:suppressAutoHyphens/>
        <w:overflowPunct w:val="0"/>
        <w:jc w:val="both"/>
      </w:pP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01B28903" w:rsidR="009D29AE" w:rsidRDefault="000C0697" w:rsidP="000C0697">
      <w:pPr>
        <w:spacing w:after="120"/>
        <w:jc w:val="both"/>
      </w:pPr>
      <w:r>
        <w:t>In this contribution, we discuss the RRM impact for NES feature</w:t>
      </w:r>
      <w:r w:rsidR="009D29AE">
        <w:t>.</w:t>
      </w:r>
    </w:p>
    <w:p w14:paraId="54D69584" w14:textId="77777777" w:rsidR="0015332C" w:rsidRDefault="0015332C" w:rsidP="0015332C">
      <w:pPr>
        <w:tabs>
          <w:tab w:val="left" w:pos="0"/>
        </w:tabs>
        <w:suppressAutoHyphens/>
        <w:overflowPunct w:val="0"/>
        <w:jc w:val="both"/>
        <w:rPr>
          <w:b/>
          <w:bCs/>
          <w:i/>
          <w:iCs/>
        </w:rPr>
      </w:pPr>
      <w:r w:rsidRPr="000D10FD">
        <w:rPr>
          <w:b/>
          <w:bCs/>
          <w:i/>
          <w:iCs/>
        </w:rPr>
        <w:t>Proposal</w:t>
      </w:r>
      <w:r>
        <w:rPr>
          <w:b/>
          <w:bCs/>
          <w:i/>
          <w:iCs/>
        </w:rPr>
        <w:t xml:space="preserve"> 1</w:t>
      </w:r>
      <w:r w:rsidRPr="000D10FD">
        <w:rPr>
          <w:b/>
          <w:bCs/>
          <w:i/>
          <w:iCs/>
        </w:rPr>
        <w:t>: the current definition of time uncertainty in T</w:t>
      </w:r>
      <w:r w:rsidRPr="000D10FD">
        <w:rPr>
          <w:b/>
          <w:bCs/>
          <w:i/>
          <w:iCs/>
          <w:vertAlign w:val="subscript"/>
        </w:rPr>
        <w:t xml:space="preserve">CSI-reporting </w:t>
      </w:r>
      <w:r w:rsidRPr="000D10FD">
        <w:rPr>
          <w:b/>
          <w:bCs/>
          <w:i/>
          <w:iCs/>
        </w:rPr>
        <w:t xml:space="preserve">can already well cover the case when P/SP CSI-RS for CQI is outside the DTX active window, and therefore there is no impact on the </w:t>
      </w:r>
      <w:proofErr w:type="spellStart"/>
      <w:r w:rsidRPr="000D10FD">
        <w:rPr>
          <w:b/>
          <w:bCs/>
          <w:i/>
          <w:iCs/>
        </w:rPr>
        <w:t>SCell</w:t>
      </w:r>
      <w:proofErr w:type="spellEnd"/>
      <w:r w:rsidRPr="000D10FD">
        <w:rPr>
          <w:b/>
          <w:bCs/>
          <w:i/>
          <w:iCs/>
        </w:rPr>
        <w:t xml:space="preserve"> activation requirements of Cell DTX.</w:t>
      </w:r>
    </w:p>
    <w:p w14:paraId="1379CC64" w14:textId="77777777" w:rsidR="0015332C" w:rsidRDefault="0015332C" w:rsidP="0015332C">
      <w:pPr>
        <w:tabs>
          <w:tab w:val="left" w:pos="0"/>
        </w:tabs>
        <w:suppressAutoHyphens/>
        <w:overflowPunct w:val="0"/>
        <w:jc w:val="both"/>
        <w:rPr>
          <w:b/>
          <w:bCs/>
          <w:i/>
          <w:iCs/>
        </w:rPr>
      </w:pPr>
    </w:p>
    <w:p w14:paraId="78ED60F7" w14:textId="5DEB46AF" w:rsidR="0015332C" w:rsidRDefault="0015332C" w:rsidP="0015332C">
      <w:pPr>
        <w:tabs>
          <w:tab w:val="left" w:pos="0"/>
        </w:tabs>
        <w:suppressAutoHyphens/>
        <w:overflowPunct w:val="0"/>
        <w:jc w:val="both"/>
        <w:rPr>
          <w:b/>
          <w:bCs/>
          <w:i/>
          <w:iCs/>
        </w:rPr>
      </w:pPr>
      <w:r w:rsidRPr="000D10FD">
        <w:rPr>
          <w:b/>
          <w:bCs/>
          <w:i/>
          <w:iCs/>
        </w:rPr>
        <w:t>Proposal</w:t>
      </w:r>
      <w:r>
        <w:rPr>
          <w:b/>
          <w:bCs/>
          <w:i/>
          <w:iCs/>
        </w:rPr>
        <w:t xml:space="preserve"> 2</w:t>
      </w:r>
      <w:r w:rsidRPr="000D10FD">
        <w:rPr>
          <w:b/>
          <w:bCs/>
          <w:i/>
          <w:iCs/>
        </w:rPr>
        <w:t xml:space="preserve">: </w:t>
      </w:r>
      <w:r>
        <w:rPr>
          <w:b/>
          <w:bCs/>
          <w:i/>
          <w:iCs/>
        </w:rPr>
        <w:t>t</w:t>
      </w:r>
      <w:r w:rsidRPr="000D10FD">
        <w:rPr>
          <w:b/>
          <w:bCs/>
          <w:i/>
          <w:iCs/>
        </w:rPr>
        <w:t xml:space="preserve">here is no RRM impacts </w:t>
      </w:r>
      <w:r>
        <w:rPr>
          <w:b/>
          <w:bCs/>
          <w:i/>
          <w:iCs/>
        </w:rPr>
        <w:t>on CHO requirement in Rel 18 NES WI.</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7334331" w14:textId="2FD7412F" w:rsidR="00543118" w:rsidRPr="003302A0" w:rsidRDefault="00543118" w:rsidP="00543118">
      <w:r>
        <w:t xml:space="preserve">[1] </w:t>
      </w:r>
      <w:r w:rsidR="0020332F" w:rsidRPr="0020332F">
        <w:rPr>
          <w:rFonts w:cs="Arial"/>
        </w:rPr>
        <w:t>R4-2317405</w:t>
      </w:r>
      <w:r w:rsidRPr="003302A0">
        <w:t xml:space="preserve">, </w:t>
      </w:r>
      <w:r w:rsidRPr="006D17F2">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#10</w:t>
      </w:r>
      <w:r w:rsidR="00D21FA0">
        <w:t>8</w:t>
      </w:r>
      <w:r w:rsidR="0020332F">
        <w:t>bis</w:t>
      </w:r>
    </w:p>
    <w:p w14:paraId="0C91915A" w14:textId="337019FF" w:rsidR="00110BFA" w:rsidRPr="005A1E0E" w:rsidRDefault="00110BFA" w:rsidP="00A74337"/>
    <w:sectPr w:rsidR="00110BFA" w:rsidRPr="005A1E0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F3A9" w14:textId="77777777" w:rsidR="00E71EF9" w:rsidRDefault="00E71EF9">
      <w:r>
        <w:separator/>
      </w:r>
    </w:p>
  </w:endnote>
  <w:endnote w:type="continuationSeparator" w:id="0">
    <w:p w14:paraId="399B1ABB" w14:textId="77777777" w:rsidR="00E71EF9" w:rsidRDefault="00E71EF9">
      <w:r>
        <w:continuationSeparator/>
      </w:r>
    </w:p>
  </w:endnote>
  <w:endnote w:type="continuationNotice" w:id="1">
    <w:p w14:paraId="2A15FD3C" w14:textId="77777777" w:rsidR="00E71EF9" w:rsidRDefault="00E71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BC69" w14:textId="77777777" w:rsidR="00E71EF9" w:rsidRDefault="00E71EF9">
      <w:r>
        <w:separator/>
      </w:r>
    </w:p>
  </w:footnote>
  <w:footnote w:type="continuationSeparator" w:id="0">
    <w:p w14:paraId="3F8F5BB3" w14:textId="77777777" w:rsidR="00E71EF9" w:rsidRDefault="00E71EF9">
      <w:r>
        <w:continuationSeparator/>
      </w:r>
    </w:p>
  </w:footnote>
  <w:footnote w:type="continuationNotice" w:id="1">
    <w:p w14:paraId="7F921D2B" w14:textId="77777777" w:rsidR="00E71EF9" w:rsidRDefault="00E71E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1"/>
  </w:num>
  <w:num w:numId="5" w16cid:durableId="19949176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1"/>
  </w:num>
  <w:num w:numId="8" w16cid:durableId="66853061">
    <w:abstractNumId w:val="5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0"/>
  </w:num>
  <w:num w:numId="11" w16cid:durableId="658192778">
    <w:abstractNumId w:val="46"/>
  </w:num>
  <w:num w:numId="12" w16cid:durableId="1683971953">
    <w:abstractNumId w:val="33"/>
  </w:num>
  <w:num w:numId="13" w16cid:durableId="1802336773">
    <w:abstractNumId w:val="48"/>
  </w:num>
  <w:num w:numId="14" w16cid:durableId="183179212">
    <w:abstractNumId w:val="12"/>
  </w:num>
  <w:num w:numId="15" w16cid:durableId="101072845">
    <w:abstractNumId w:val="3"/>
  </w:num>
  <w:num w:numId="16" w16cid:durableId="1671985423">
    <w:abstractNumId w:val="52"/>
  </w:num>
  <w:num w:numId="17" w16cid:durableId="527718403">
    <w:abstractNumId w:val="11"/>
  </w:num>
  <w:num w:numId="18" w16cid:durableId="336426665">
    <w:abstractNumId w:val="38"/>
  </w:num>
  <w:num w:numId="19" w16cid:durableId="314071016">
    <w:abstractNumId w:val="7"/>
  </w:num>
  <w:num w:numId="20" w16cid:durableId="254241833">
    <w:abstractNumId w:val="15"/>
  </w:num>
  <w:num w:numId="21" w16cid:durableId="2056931042">
    <w:abstractNumId w:val="32"/>
  </w:num>
  <w:num w:numId="22" w16cid:durableId="277881800">
    <w:abstractNumId w:val="35"/>
  </w:num>
  <w:num w:numId="23" w16cid:durableId="2121104171">
    <w:abstractNumId w:val="26"/>
  </w:num>
  <w:num w:numId="24" w16cid:durableId="1956054883">
    <w:abstractNumId w:val="18"/>
  </w:num>
  <w:num w:numId="25" w16cid:durableId="1143275559">
    <w:abstractNumId w:val="27"/>
  </w:num>
  <w:num w:numId="26" w16cid:durableId="337998213">
    <w:abstractNumId w:val="28"/>
  </w:num>
  <w:num w:numId="27" w16cid:durableId="753867088">
    <w:abstractNumId w:val="22"/>
  </w:num>
  <w:num w:numId="28" w16cid:durableId="1388605013">
    <w:abstractNumId w:val="19"/>
  </w:num>
  <w:num w:numId="29" w16cid:durableId="1194684424">
    <w:abstractNumId w:val="29"/>
  </w:num>
  <w:num w:numId="30" w16cid:durableId="195780968">
    <w:abstractNumId w:val="39"/>
  </w:num>
  <w:num w:numId="31" w16cid:durableId="43145658">
    <w:abstractNumId w:val="34"/>
  </w:num>
  <w:num w:numId="32" w16cid:durableId="840119956">
    <w:abstractNumId w:val="50"/>
  </w:num>
  <w:num w:numId="33" w16cid:durableId="788086887">
    <w:abstractNumId w:val="44"/>
  </w:num>
  <w:num w:numId="34" w16cid:durableId="1075589885">
    <w:abstractNumId w:val="25"/>
  </w:num>
  <w:num w:numId="35" w16cid:durableId="1071587299">
    <w:abstractNumId w:val="49"/>
  </w:num>
  <w:num w:numId="36" w16cid:durableId="1091851232">
    <w:abstractNumId w:val="41"/>
  </w:num>
  <w:num w:numId="37" w16cid:durableId="973365770">
    <w:abstractNumId w:val="37"/>
  </w:num>
  <w:num w:numId="38" w16cid:durableId="1834683719">
    <w:abstractNumId w:val="6"/>
  </w:num>
  <w:num w:numId="39" w16cid:durableId="1536116022">
    <w:abstractNumId w:val="42"/>
  </w:num>
  <w:num w:numId="40" w16cid:durableId="1520314102">
    <w:abstractNumId w:val="45"/>
  </w:num>
  <w:num w:numId="41" w16cid:durableId="247882645">
    <w:abstractNumId w:val="4"/>
  </w:num>
  <w:num w:numId="42" w16cid:durableId="1465733113">
    <w:abstractNumId w:val="24"/>
  </w:num>
  <w:num w:numId="43" w16cid:durableId="1899396757">
    <w:abstractNumId w:val="5"/>
  </w:num>
  <w:num w:numId="44" w16cid:durableId="1532566973">
    <w:abstractNumId w:val="1"/>
  </w:num>
  <w:num w:numId="45" w16cid:durableId="1368028164">
    <w:abstractNumId w:val="13"/>
  </w:num>
  <w:num w:numId="46" w16cid:durableId="1589078694">
    <w:abstractNumId w:val="21"/>
  </w:num>
  <w:num w:numId="47" w16cid:durableId="925915457">
    <w:abstractNumId w:val="9"/>
  </w:num>
  <w:num w:numId="48" w16cid:durableId="12804858">
    <w:abstractNumId w:val="17"/>
  </w:num>
  <w:num w:numId="49" w16cid:durableId="1651904155">
    <w:abstractNumId w:val="36"/>
  </w:num>
  <w:num w:numId="50" w16cid:durableId="1799837277">
    <w:abstractNumId w:val="40"/>
  </w:num>
  <w:num w:numId="51" w16cid:durableId="1335303262">
    <w:abstractNumId w:val="30"/>
  </w:num>
  <w:num w:numId="52" w16cid:durableId="2017027243">
    <w:abstractNumId w:val="20"/>
  </w:num>
  <w:num w:numId="53" w16cid:durableId="1134905290">
    <w:abstractNumId w:val="47"/>
  </w:num>
  <w:num w:numId="54" w16cid:durableId="245265102">
    <w:abstractNumId w:val="14"/>
  </w:num>
  <w:num w:numId="55" w16cid:durableId="743071115">
    <w:abstractNumId w:val="0"/>
  </w:num>
  <w:num w:numId="56" w16cid:durableId="1817792009">
    <w:abstractNumId w:val="53"/>
  </w:num>
  <w:num w:numId="57" w16cid:durableId="2112313725">
    <w:abstractNumId w:val="23"/>
  </w:num>
  <w:num w:numId="58" w16cid:durableId="164380375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A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4AC"/>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10F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32C"/>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3EF"/>
    <w:rsid w:val="001B3EE1"/>
    <w:rsid w:val="001B50A5"/>
    <w:rsid w:val="001B7401"/>
    <w:rsid w:val="001B7745"/>
    <w:rsid w:val="001B7D39"/>
    <w:rsid w:val="001C0CDA"/>
    <w:rsid w:val="001C193A"/>
    <w:rsid w:val="001C3104"/>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E87"/>
    <w:rsid w:val="001F59EF"/>
    <w:rsid w:val="001F63EF"/>
    <w:rsid w:val="001F715B"/>
    <w:rsid w:val="002018D3"/>
    <w:rsid w:val="00201E08"/>
    <w:rsid w:val="00202AD7"/>
    <w:rsid w:val="00202ADF"/>
    <w:rsid w:val="0020332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9FF"/>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1016"/>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591"/>
    <w:rsid w:val="00441909"/>
    <w:rsid w:val="00441AC0"/>
    <w:rsid w:val="00442549"/>
    <w:rsid w:val="0044493E"/>
    <w:rsid w:val="00444F50"/>
    <w:rsid w:val="0044575B"/>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2DD"/>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791"/>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18"/>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6AC5"/>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08E"/>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704E1"/>
    <w:rsid w:val="007709FF"/>
    <w:rsid w:val="007717DE"/>
    <w:rsid w:val="00771980"/>
    <w:rsid w:val="00771EDD"/>
    <w:rsid w:val="00772586"/>
    <w:rsid w:val="0077297F"/>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5F0"/>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7F6EAD"/>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5F4"/>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2DD"/>
    <w:rsid w:val="00904A0E"/>
    <w:rsid w:val="00904CE4"/>
    <w:rsid w:val="00905989"/>
    <w:rsid w:val="00905DDB"/>
    <w:rsid w:val="0090612D"/>
    <w:rsid w:val="00906506"/>
    <w:rsid w:val="00906BFC"/>
    <w:rsid w:val="00906D29"/>
    <w:rsid w:val="0090700D"/>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9D2"/>
    <w:rsid w:val="00950212"/>
    <w:rsid w:val="00950F71"/>
    <w:rsid w:val="00950F82"/>
    <w:rsid w:val="00952AC1"/>
    <w:rsid w:val="0095434D"/>
    <w:rsid w:val="00955776"/>
    <w:rsid w:val="00955D24"/>
    <w:rsid w:val="009570DF"/>
    <w:rsid w:val="00957428"/>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3F3E"/>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6A12"/>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FCB"/>
    <w:rsid w:val="00B12A56"/>
    <w:rsid w:val="00B12DCA"/>
    <w:rsid w:val="00B131B8"/>
    <w:rsid w:val="00B14182"/>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788"/>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2842"/>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2170"/>
    <w:rsid w:val="00CA21D5"/>
    <w:rsid w:val="00CA2C52"/>
    <w:rsid w:val="00CA4795"/>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1FA0"/>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316"/>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5FDD"/>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00A8"/>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1EF9"/>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166"/>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2</Pages>
  <Words>467</Words>
  <Characters>2668</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4</cp:revision>
  <cp:lastPrinted>2016-08-05T18:54:00Z</cp:lastPrinted>
  <dcterms:created xsi:type="dcterms:W3CDTF">2023-10-31T21:58:00Z</dcterms:created>
  <dcterms:modified xsi:type="dcterms:W3CDTF">2023-11-03T16:49:00Z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